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D1" w:rsidRPr="00996251" w:rsidRDefault="00B45E77">
      <w:pPr>
        <w:pStyle w:val="Heading10"/>
        <w:keepNext/>
        <w:keepLines/>
        <w:shd w:val="clear" w:color="auto" w:fill="auto"/>
        <w:spacing w:after="996" w:line="310" w:lineRule="exact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9625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5775325</wp:posOffset>
            </wp:positionH>
            <wp:positionV relativeFrom="margin">
              <wp:posOffset>-188595</wp:posOffset>
            </wp:positionV>
            <wp:extent cx="999490" cy="1273810"/>
            <wp:effectExtent l="0" t="0" r="0" b="0"/>
            <wp:wrapTight wrapText="bothSides">
              <wp:wrapPolygon edited="0">
                <wp:start x="0" y="0"/>
                <wp:lineTo x="0" y="21320"/>
                <wp:lineTo x="20996" y="21320"/>
                <wp:lineTo x="20996" y="0"/>
                <wp:lineTo x="0" y="0"/>
              </wp:wrapPolygon>
            </wp:wrapTight>
            <wp:docPr id="2" name="Рисунок 2" descr="C:\Users\ANPYAT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PYAT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D3" w:rsidRPr="00996251">
        <w:rPr>
          <w:rFonts w:ascii="Times New Roman" w:hAnsi="Times New Roman" w:cs="Times New Roman"/>
          <w:sz w:val="24"/>
          <w:szCs w:val="24"/>
        </w:rPr>
        <w:t>Резюме кандидата на трудоустройство</w:t>
      </w:r>
      <w:bookmarkEnd w:id="0"/>
    </w:p>
    <w:p w:rsidR="005452D1" w:rsidRDefault="008532D3">
      <w:pPr>
        <w:pStyle w:val="Bodytext20"/>
        <w:shd w:val="clear" w:color="auto" w:fill="auto"/>
        <w:spacing w:before="0" w:after="5" w:line="25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996251">
        <w:rPr>
          <w:rFonts w:ascii="Times New Roman" w:hAnsi="Times New Roman" w:cs="Times New Roman"/>
          <w:sz w:val="24"/>
          <w:szCs w:val="24"/>
        </w:rPr>
        <w:t>Пятков Андрей Николаевич</w:t>
      </w:r>
    </w:p>
    <w:tbl>
      <w:tblPr>
        <w:tblStyle w:val="a4"/>
        <w:tblW w:w="10630" w:type="dxa"/>
        <w:tblInd w:w="120" w:type="dxa"/>
        <w:tblLook w:val="04A0" w:firstRow="1" w:lastRow="0" w:firstColumn="1" w:lastColumn="0" w:noHBand="0" w:noVBand="1"/>
      </w:tblPr>
      <w:tblGrid>
        <w:gridCol w:w="10630"/>
      </w:tblGrid>
      <w:tr w:rsidR="00BE6643" w:rsidTr="00BE6643">
        <w:trPr>
          <w:trHeight w:val="1709"/>
        </w:trPr>
        <w:tc>
          <w:tcPr>
            <w:tcW w:w="10630" w:type="dxa"/>
          </w:tcPr>
          <w:p w:rsid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Цель поиска работы: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престижной компании </w:t>
            </w:r>
          </w:p>
          <w:p w:rsid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позиция: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инженер </w:t>
            </w:r>
          </w:p>
          <w:p w:rsidR="00BE6643" w:rsidRDefault="00BE6643" w:rsidP="00B45E77">
            <w:pPr>
              <w:pStyle w:val="Bodytext20"/>
              <w:shd w:val="clear" w:color="auto" w:fill="auto"/>
              <w:spacing w:before="0" w:after="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3">
              <w:rPr>
                <w:rFonts w:ascii="Times New Roman" w:hAnsi="Times New Roman" w:cs="Times New Roman"/>
                <w:sz w:val="24"/>
                <w:szCs w:val="24"/>
              </w:rPr>
              <w:t>Ожидаемый уровень заработной платы за месяц: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E6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CE71D4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BE6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тыс.рублей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643" w:rsidRDefault="00BE6643" w:rsidP="00B45E77">
            <w:pPr>
              <w:pStyle w:val="Bodytext20"/>
              <w:shd w:val="clear" w:color="auto" w:fill="auto"/>
              <w:spacing w:before="0" w:after="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3">
              <w:rPr>
                <w:rFonts w:ascii="Times New Roman" w:hAnsi="Times New Roman" w:cs="Times New Roman"/>
                <w:sz w:val="24"/>
                <w:szCs w:val="24"/>
              </w:rPr>
              <w:t>Ожидаемый график работы: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64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Полный</w:t>
            </w:r>
          </w:p>
        </w:tc>
      </w:tr>
      <w:tr w:rsidR="00BE6643" w:rsidTr="00BE6643">
        <w:trPr>
          <w:trHeight w:val="1709"/>
        </w:trPr>
        <w:tc>
          <w:tcPr>
            <w:tcW w:w="10630" w:type="dxa"/>
          </w:tcPr>
          <w:p w:rsidR="00BE6643" w:rsidRDefault="00BE6643" w:rsidP="00B45E77">
            <w:pPr>
              <w:pStyle w:val="4"/>
              <w:shd w:val="clear" w:color="auto" w:fill="auto"/>
              <w:spacing w:before="0" w:line="276" w:lineRule="auto"/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СЕБЕ</w:t>
            </w:r>
          </w:p>
          <w:p w:rsid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17.05.1986 </w:t>
            </w:r>
          </w:p>
          <w:p w:rsid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3">
              <w:rPr>
                <w:rFonts w:ascii="Times New Roman" w:hAnsi="Times New Roman" w:cs="Times New Roman"/>
                <w:b/>
                <w:sz w:val="24"/>
                <w:szCs w:val="24"/>
              </w:rPr>
              <w:t>Город проживания: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  <w:p w:rsid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8(982)5650818 </w:t>
            </w:r>
          </w:p>
          <w:p w:rsid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E66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6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E66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962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Xp</w:t>
              </w:r>
              <w:r w:rsidRPr="00996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9962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996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62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6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62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BE6643" w:rsidRP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к переезду: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BE6643" w:rsidTr="00BE6643">
        <w:trPr>
          <w:trHeight w:val="1709"/>
        </w:trPr>
        <w:tc>
          <w:tcPr>
            <w:tcW w:w="10630" w:type="dxa"/>
          </w:tcPr>
          <w:p w:rsidR="00BE6643" w:rsidRPr="00996251" w:rsidRDefault="00BE6643" w:rsidP="00B45E77">
            <w:pPr>
              <w:pStyle w:val="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51">
              <w:rPr>
                <w:rStyle w:val="Bodytext3115pt"/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 и навыки:</w:t>
            </w:r>
            <w:r w:rsidRPr="00996251">
              <w:rPr>
                <w:rStyle w:val="Bodytext3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251">
              <w:rPr>
                <w:rStyle w:val="Bodytext31"/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предприятия, работа с подрядными организациями в рамках заключенных договоров, подготовка закупочной документации для заключения договоров на капитальный ремонт электрооборудование, составление технических заданий, составление графиков планово-предупредительных ремонтов технологического оборудования</w:t>
            </w:r>
            <w:r>
              <w:rPr>
                <w:rStyle w:val="Bodytext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6643" w:rsidRPr="00996251" w:rsidRDefault="00BE6643" w:rsidP="00B45E77">
      <w:pPr>
        <w:pStyle w:val="Bodytext20"/>
        <w:shd w:val="clear" w:color="auto" w:fill="auto"/>
        <w:spacing w:before="0"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Дополнительные сведения </w:t>
      </w:r>
      <w:r w:rsidRPr="00BE6643">
        <w:rPr>
          <w:b w:val="0"/>
        </w:rPr>
        <w:t>(информация об участии в крупных профильных проектах, о победах на конкурсах проф. мастерства, научные публикации и патенты): Место ввода текста</w:t>
      </w:r>
    </w:p>
    <w:p w:rsidR="00BE6643" w:rsidRDefault="00BE6643" w:rsidP="00B45E77">
      <w:pPr>
        <w:pStyle w:val="4"/>
        <w:shd w:val="clear" w:color="auto" w:fill="auto"/>
        <w:spacing w:before="0" w:after="82" w:line="276" w:lineRule="auto"/>
        <w:ind w:left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D1" w:rsidRDefault="008532D3" w:rsidP="00B45E77">
      <w:pPr>
        <w:pStyle w:val="4"/>
        <w:shd w:val="clear" w:color="auto" w:fill="auto"/>
        <w:spacing w:before="0" w:after="82" w:line="276" w:lineRule="auto"/>
        <w:ind w:left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51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996251" w:rsidTr="00BE6643">
        <w:tc>
          <w:tcPr>
            <w:tcW w:w="10632" w:type="dxa"/>
          </w:tcPr>
          <w:p w:rsidR="00996251" w:rsidRPr="00996251" w:rsidRDefault="00996251" w:rsidP="00B45E77">
            <w:pPr>
              <w:pStyle w:val="Bodytext30"/>
              <w:shd w:val="clear" w:color="auto" w:fill="auto"/>
              <w:spacing w:line="276" w:lineRule="auto"/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Style w:val="Bodytext3115pt"/>
                <w:rFonts w:ascii="Times New Roman" w:hAnsi="Times New Roman" w:cs="Times New Roman"/>
                <w:b/>
                <w:sz w:val="24"/>
                <w:szCs w:val="24"/>
              </w:rPr>
              <w:t>Владение ПК (владение программами, технические навыки):</w:t>
            </w:r>
            <w:r w:rsidRPr="00996251">
              <w:rPr>
                <w:rStyle w:val="Bodytext3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ПК: </w:t>
            </w:r>
            <w:r w:rsidRPr="0099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>, Диадок (уверенный пользователь).</w:t>
            </w:r>
          </w:p>
          <w:p w:rsidR="00996251" w:rsidRDefault="00996251" w:rsidP="00B45E77">
            <w:pPr>
              <w:pStyle w:val="4"/>
              <w:shd w:val="clear" w:color="auto" w:fill="auto"/>
              <w:spacing w:before="0" w:line="276" w:lineRule="auto"/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иностранных языков: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уровень средней школы </w:t>
            </w:r>
          </w:p>
          <w:p w:rsidR="00996251" w:rsidRDefault="00996251" w:rsidP="00B45E77">
            <w:pPr>
              <w:pStyle w:val="4"/>
              <w:shd w:val="clear" w:color="auto" w:fill="auto"/>
              <w:spacing w:before="0" w:after="8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Автомобили, тяжелая атлетика, рыбалка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643" w:rsidTr="00BE6643">
        <w:trPr>
          <w:trHeight w:val="571"/>
        </w:trPr>
        <w:tc>
          <w:tcPr>
            <w:tcW w:w="10632" w:type="dxa"/>
          </w:tcPr>
          <w:p w:rsidR="00BE6643" w:rsidRPr="00BE6643" w:rsidRDefault="00BE6643" w:rsidP="00B45E77">
            <w:pPr>
              <w:pStyle w:val="4"/>
              <w:shd w:val="clear" w:color="auto" w:fill="auto"/>
              <w:spacing w:before="0" w:line="276" w:lineRule="auto"/>
              <w:ind w:right="420"/>
              <w:rPr>
                <w:rStyle w:val="Bodytext3115pt"/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качества: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Коммуникабельность, ответственность, исполнительность, мобильность, целеустремленность, обучаемость.</w:t>
            </w:r>
          </w:p>
        </w:tc>
      </w:tr>
      <w:tr w:rsidR="00BE6643" w:rsidTr="00BE6643">
        <w:trPr>
          <w:trHeight w:val="272"/>
        </w:trPr>
        <w:tc>
          <w:tcPr>
            <w:tcW w:w="10632" w:type="dxa"/>
          </w:tcPr>
          <w:p w:rsidR="00BE6643" w:rsidRPr="00996251" w:rsidRDefault="00BE6643" w:rsidP="00B45E77">
            <w:pPr>
              <w:pStyle w:val="4"/>
              <w:shd w:val="clear" w:color="auto" w:fill="auto"/>
              <w:spacing w:before="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Женат</w:t>
            </w:r>
          </w:p>
        </w:tc>
      </w:tr>
      <w:tr w:rsidR="00BE6643" w:rsidTr="00BE6643">
        <w:trPr>
          <w:trHeight w:val="248"/>
        </w:trPr>
        <w:tc>
          <w:tcPr>
            <w:tcW w:w="10632" w:type="dxa"/>
          </w:tcPr>
          <w:p w:rsidR="00BE6643" w:rsidRPr="00BE6643" w:rsidRDefault="00BE6643" w:rsidP="00B45E77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детях: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Дочь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лет, Сын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96251" w:rsidRDefault="00996251" w:rsidP="00B45E77">
      <w:pPr>
        <w:pStyle w:val="4"/>
        <w:shd w:val="clear" w:color="auto" w:fill="auto"/>
        <w:spacing w:before="0" w:after="63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996251" w:rsidTr="00BE6643">
        <w:tc>
          <w:tcPr>
            <w:tcW w:w="10632" w:type="dxa"/>
            <w:gridSpan w:val="2"/>
          </w:tcPr>
          <w:p w:rsidR="00996251" w:rsidRPr="006A1882" w:rsidRDefault="006A1882" w:rsidP="006A1882">
            <w:pPr>
              <w:pStyle w:val="4"/>
              <w:shd w:val="clear" w:color="auto" w:fill="auto"/>
              <w:spacing w:before="0" w:after="63" w:line="276" w:lineRule="auto"/>
              <w:ind w:left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82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996251" w:rsidTr="00BE6643">
        <w:tc>
          <w:tcPr>
            <w:tcW w:w="2694" w:type="dxa"/>
          </w:tcPr>
          <w:p w:rsidR="00996251" w:rsidRDefault="00A658C6" w:rsidP="00B45E77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 перевод</w:t>
            </w:r>
            <w:r w:rsidR="006A1882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 настоящее время</w:t>
            </w:r>
          </w:p>
        </w:tc>
        <w:tc>
          <w:tcPr>
            <w:tcW w:w="7938" w:type="dxa"/>
          </w:tcPr>
          <w:p w:rsidR="00A658C6" w:rsidRDefault="00A658C6" w:rsidP="00A658C6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Соровскнефть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58C6" w:rsidRDefault="00A658C6" w:rsidP="00A658C6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7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генерации в блоке гланого энергетика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251" w:rsidRDefault="00A658C6" w:rsidP="006A1882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6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8C6">
              <w:rPr>
                <w:rFonts w:ascii="Times New Roman" w:hAnsi="Times New Roman" w:cs="Times New Roman"/>
                <w:sz w:val="24"/>
                <w:szCs w:val="24"/>
              </w:rPr>
              <w:t>планирование плана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от</w:t>
            </w:r>
            <w:r w:rsidRPr="00A658C6">
              <w:rPr>
                <w:rFonts w:ascii="Times New Roman" w:hAnsi="Times New Roman" w:cs="Times New Roman"/>
                <w:sz w:val="24"/>
                <w:szCs w:val="24"/>
              </w:rPr>
              <w:t xml:space="preserve"> ДЭС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88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работ по ТОиР электротехнического оборудования (ГПЭС). Списание потребления дизельного топлива на ДЭС. 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>Подготовка закупочной документации для заключения договоров</w:t>
            </w:r>
            <w:r w:rsidR="006A1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функций куратора договоров, закрытие выполнения по основной деятельности, проверка исполнительной документации по договорам. Участие в работе ежегодных и внеплановых</w:t>
            </w:r>
            <w:r w:rsidR="006A1882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инвентаризаций.</w:t>
            </w:r>
          </w:p>
        </w:tc>
      </w:tr>
      <w:tr w:rsidR="00B45E77" w:rsidTr="007B163C">
        <w:tc>
          <w:tcPr>
            <w:tcW w:w="2694" w:type="dxa"/>
          </w:tcPr>
          <w:p w:rsidR="00B45E77" w:rsidRDefault="00B45E77" w:rsidP="00B45E77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28.09.2023-05.02.2024</w:t>
            </w:r>
          </w:p>
        </w:tc>
        <w:tc>
          <w:tcPr>
            <w:tcW w:w="7938" w:type="dxa"/>
          </w:tcPr>
          <w:p w:rsidR="00B45E77" w:rsidRDefault="00B45E77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ООО "РН-Юганскнефтегаз» </w:t>
            </w:r>
          </w:p>
          <w:p w:rsidR="00A658C6" w:rsidRDefault="00B45E77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Должность: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специалист ремонтного производства Управления электротехнического оборудования </w:t>
            </w:r>
          </w:p>
          <w:p w:rsidR="00B45E77" w:rsidRPr="00B45E77" w:rsidRDefault="00B45E77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6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B45E7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закупочной документации для заключения договоров на капитальный ремонт РУ-6кВ, капитальный ремонт высоковольтных электродвигателей, составление графиков планово-предупредительных ремонтов технологического оборудования, выполнение функций куратора договоров, закрытие выполнения по основной деятельности, проверка исполнительной документации по договорам. Участие в работе ежегодных и внеплановых инвентаризаций.</w:t>
            </w:r>
          </w:p>
        </w:tc>
      </w:tr>
      <w:tr w:rsidR="006A1882" w:rsidTr="007B163C">
        <w:tc>
          <w:tcPr>
            <w:tcW w:w="2694" w:type="dxa"/>
          </w:tcPr>
          <w:p w:rsidR="006A1882" w:rsidRPr="006A1882" w:rsidRDefault="006A1882" w:rsidP="00B45E77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>6.06.2023 – 28.07.2023</w:t>
            </w:r>
          </w:p>
        </w:tc>
        <w:tc>
          <w:tcPr>
            <w:tcW w:w="7938" w:type="dxa"/>
          </w:tcPr>
          <w:p w:rsidR="006A1882" w:rsidRDefault="006A1882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 xml:space="preserve"> ООО "Сургутнефтегаз» Нефтегазодобывающее управление «Сургутнефть» </w:t>
            </w:r>
          </w:p>
          <w:p w:rsidR="006A1882" w:rsidRDefault="006A1882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инженер в производственно - технический отдел аппарата управления электросетевого хозяйства </w:t>
            </w:r>
          </w:p>
          <w:p w:rsidR="006A1882" w:rsidRPr="006A1882" w:rsidRDefault="006A1882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согласование графиков на капитальный ремонт электрооборудования, формирование заявок на потребность комплектующих для сетевых районов, составление графиков ППР.</w:t>
            </w:r>
          </w:p>
        </w:tc>
      </w:tr>
      <w:tr w:rsidR="006A1882" w:rsidTr="007B163C">
        <w:tc>
          <w:tcPr>
            <w:tcW w:w="2694" w:type="dxa"/>
          </w:tcPr>
          <w:p w:rsidR="006A1882" w:rsidRPr="006A1882" w:rsidRDefault="006A1882" w:rsidP="00B45E77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>09.08.2017 – 15.06.2023</w:t>
            </w:r>
          </w:p>
        </w:tc>
        <w:tc>
          <w:tcPr>
            <w:tcW w:w="7938" w:type="dxa"/>
          </w:tcPr>
          <w:p w:rsidR="006A1882" w:rsidRDefault="006A1882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 xml:space="preserve"> ООО "РН-Юганскнефтегаз» </w:t>
            </w:r>
          </w:p>
          <w:p w:rsidR="006A1882" w:rsidRDefault="006A1882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специалист ремонтного производства Управления электротехнического оборудования </w:t>
            </w:r>
          </w:p>
          <w:p w:rsidR="006A1882" w:rsidRPr="006A1882" w:rsidRDefault="006A1882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82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6A18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закупочной документации для заключения договоров на капитальный ремонт РУ-6кВ, капитальный ремонт высоковольтных электродвигателей, составление графиков планово-предупредительных ремонтов технологического оборудования, выполнение функций куратора договоров, закрытие выполнения по основной деятельности, проверка исполнительной документации по договорам. Участие в работе ежегодных и внеплановых инвентаризаций.</w:t>
            </w:r>
          </w:p>
        </w:tc>
      </w:tr>
      <w:tr w:rsidR="00797ACD" w:rsidTr="007B163C">
        <w:tc>
          <w:tcPr>
            <w:tcW w:w="2694" w:type="dxa"/>
          </w:tcPr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>14.05.2015 – 20.06.2017</w:t>
            </w:r>
          </w:p>
        </w:tc>
        <w:tc>
          <w:tcPr>
            <w:tcW w:w="7938" w:type="dxa"/>
          </w:tcPr>
          <w:p w:rsid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ООО "Азимут Инжиниринг» </w:t>
            </w:r>
          </w:p>
          <w:p w:rsid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участка электромонтажных работ №4 </w:t>
            </w:r>
          </w:p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участком по монтажу электрооборудования на объектах ООО «РН-Юганскнефтегаз»</w:t>
            </w:r>
          </w:p>
        </w:tc>
      </w:tr>
      <w:tr w:rsidR="00797ACD" w:rsidTr="007B163C">
        <w:tc>
          <w:tcPr>
            <w:tcW w:w="2694" w:type="dxa"/>
          </w:tcPr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>02.02.2015 – 30.04.2015</w:t>
            </w:r>
          </w:p>
        </w:tc>
        <w:tc>
          <w:tcPr>
            <w:tcW w:w="7938" w:type="dxa"/>
          </w:tcPr>
          <w:p w:rsid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"СургутЭнергомонтаж"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 работ электромонтажного участка </w:t>
            </w: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участком по монтажу электрооборудования на объектах ООО «РН-Юганскнефтегаз»</w:t>
            </w:r>
          </w:p>
        </w:tc>
      </w:tr>
      <w:tr w:rsidR="00797ACD" w:rsidTr="007B163C">
        <w:tc>
          <w:tcPr>
            <w:tcW w:w="2694" w:type="dxa"/>
          </w:tcPr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>04.12.2014 – 30.01.2015</w:t>
            </w:r>
          </w:p>
        </w:tc>
        <w:tc>
          <w:tcPr>
            <w:tcW w:w="7938" w:type="dxa"/>
          </w:tcPr>
          <w:p w:rsid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</w:t>
            </w: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«Запсибнефтехиммонтаж»</w:t>
            </w:r>
          </w:p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 работ электромонтажного участка </w:t>
            </w: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участком по монтажу электрооборудования на объектах ООО «РН-Юганскнефтегаз»</w:t>
            </w:r>
          </w:p>
        </w:tc>
      </w:tr>
      <w:tr w:rsidR="00797ACD" w:rsidTr="007B163C">
        <w:tc>
          <w:tcPr>
            <w:tcW w:w="2694" w:type="dxa"/>
          </w:tcPr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>13.05.2014 – 06.08.2014</w:t>
            </w:r>
          </w:p>
        </w:tc>
        <w:tc>
          <w:tcPr>
            <w:tcW w:w="7938" w:type="dxa"/>
          </w:tcPr>
          <w:p w:rsid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</w:t>
            </w: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«НефтеГазКонтрольСервис»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инженер-энергетик в аппарате при руководстве </w:t>
            </w:r>
          </w:p>
          <w:p w:rsidR="00797ACD" w:rsidRPr="00797ACD" w:rsidRDefault="00797ACD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C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функций куратора объектов по строительству ВЛ-6кВ, подключение запорной арматуры с электроприводом на трубопровода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 объектах ООО «РН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Юганскнеф</w:t>
            </w:r>
            <w:r w:rsidRPr="00797ACD">
              <w:rPr>
                <w:rFonts w:ascii="Times New Roman" w:hAnsi="Times New Roman" w:cs="Times New Roman"/>
                <w:sz w:val="24"/>
                <w:szCs w:val="24"/>
              </w:rPr>
              <w:t>тегаз»</w:t>
            </w:r>
          </w:p>
        </w:tc>
      </w:tr>
      <w:tr w:rsidR="00667633" w:rsidTr="007B163C">
        <w:tc>
          <w:tcPr>
            <w:tcW w:w="2694" w:type="dxa"/>
          </w:tcPr>
          <w:p w:rsidR="00667633" w:rsidRPr="00667633" w:rsidRDefault="0066763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33">
              <w:rPr>
                <w:rFonts w:ascii="Times New Roman" w:hAnsi="Times New Roman" w:cs="Times New Roman"/>
                <w:sz w:val="24"/>
                <w:szCs w:val="24"/>
              </w:rPr>
              <w:t>11.07.2013 – 30.04.2014</w:t>
            </w:r>
          </w:p>
        </w:tc>
        <w:tc>
          <w:tcPr>
            <w:tcW w:w="7938" w:type="dxa"/>
          </w:tcPr>
          <w:p w:rsidR="00667633" w:rsidRDefault="0066763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667633">
              <w:rPr>
                <w:rFonts w:ascii="Times New Roman" w:hAnsi="Times New Roman" w:cs="Times New Roman"/>
                <w:sz w:val="24"/>
                <w:szCs w:val="24"/>
              </w:rPr>
              <w:t xml:space="preserve"> ООО «Сургутское Монтажное Управление Специализированное» </w:t>
            </w:r>
          </w:p>
          <w:p w:rsidR="00667633" w:rsidRPr="00667633" w:rsidRDefault="0066763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3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6763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 работ электромонтажного участка </w:t>
            </w:r>
            <w:r w:rsidRPr="006676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Обязанности:</w:t>
            </w:r>
            <w:r w:rsidRPr="00667633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участком по монтажу электрооборудования на объектах ООО «РН-Юганскнефтегаз»</w:t>
            </w:r>
          </w:p>
        </w:tc>
      </w:tr>
      <w:tr w:rsidR="00FB3893" w:rsidTr="007B163C">
        <w:tc>
          <w:tcPr>
            <w:tcW w:w="2694" w:type="dxa"/>
          </w:tcPr>
          <w:p w:rsidR="00FB3893" w:rsidRP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14.12.2011 – 10.07.2013</w:t>
            </w:r>
          </w:p>
        </w:tc>
        <w:tc>
          <w:tcPr>
            <w:tcW w:w="7938" w:type="dxa"/>
          </w:tcPr>
          <w:p w:rsid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</w:t>
            </w: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«Запсибнефтехиммонтаж»</w:t>
            </w:r>
          </w:p>
          <w:p w:rsidR="00FB3893" w:rsidRP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 работ электромонтажного участка </w:t>
            </w: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участком по монтажу электрооборудования на объектах ООО «РН-Юганскнефтегаз»</w:t>
            </w:r>
          </w:p>
        </w:tc>
      </w:tr>
      <w:tr w:rsidR="00FB3893" w:rsidTr="007B163C">
        <w:tc>
          <w:tcPr>
            <w:tcW w:w="2694" w:type="dxa"/>
          </w:tcPr>
          <w:p w:rsidR="00FB3893" w:rsidRP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>02.11.2010 - 06.12.2011</w:t>
            </w:r>
          </w:p>
        </w:tc>
        <w:tc>
          <w:tcPr>
            <w:tcW w:w="7938" w:type="dxa"/>
          </w:tcPr>
          <w:p w:rsid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ООО «Лукойл-Энергосети» Западно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Сибирское региональное управление Сервисный центр «Покачевэнергонефть» г. Покачи </w:t>
            </w:r>
          </w:p>
          <w:p w:rsidR="00FB3893" w:rsidRP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мастер на участке №2 в район электрических сетей №3 </w:t>
            </w: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участком по ремонту и обслуживанию электрооборудования на объектах ООО "ЛУКОЙЛ-Западная Сибирь" ТПП "Покачевнефтегаз" Должность: инженер 2 категории группы материально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Обязанности: подготовка документации к заключению договоров на поставку электрооборудования, снабжение организации необходимыми материально-техническими ресурсами</w:t>
            </w:r>
          </w:p>
        </w:tc>
      </w:tr>
      <w:tr w:rsidR="00FB3893" w:rsidTr="007B163C">
        <w:tc>
          <w:tcPr>
            <w:tcW w:w="2694" w:type="dxa"/>
          </w:tcPr>
          <w:p w:rsidR="00FB3893" w:rsidRP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>29.03.2010 - 21.10.2010</w:t>
            </w:r>
          </w:p>
        </w:tc>
        <w:tc>
          <w:tcPr>
            <w:tcW w:w="7938" w:type="dxa"/>
          </w:tcPr>
          <w:p w:rsid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ООО «Лукойл-Западная Сибирь» ТПП «Покачевнефтегаз» г. Покачи </w:t>
            </w:r>
          </w:p>
          <w:p w:rsidR="00FB3893" w:rsidRP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Должность: 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инженер 2 (второй) категории в группе главного энергетика </w:t>
            </w: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>- учёт электроэнергии потребляемой ТПП "Покачевнефтегаз" на месторождениях, планирование электроэнергии потребляемой на месторождениях, выполнение функций куратора договора с энергоснабжающим предприятием</w:t>
            </w:r>
          </w:p>
        </w:tc>
      </w:tr>
      <w:tr w:rsidR="00FB3893" w:rsidTr="007B163C">
        <w:tc>
          <w:tcPr>
            <w:tcW w:w="2694" w:type="dxa"/>
          </w:tcPr>
          <w:p w:rsidR="00FB3893" w:rsidRPr="00FB3893" w:rsidRDefault="00FB389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>14.07.2009 - 23.03.2010</w:t>
            </w:r>
          </w:p>
        </w:tc>
        <w:tc>
          <w:tcPr>
            <w:tcW w:w="7938" w:type="dxa"/>
          </w:tcPr>
          <w:p w:rsidR="00FB3893" w:rsidRDefault="00FB389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ООО «Лукойл-Энергосети» Западно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Сибирское региональное управление Сервисный центр «Покачевэнергонефть» г. Покачи </w:t>
            </w:r>
          </w:p>
          <w:p w:rsidR="00FB3893" w:rsidRPr="00FB3893" w:rsidRDefault="00FB389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специалист, электромонтер по ремонту и обслуживанию электрооборудования третьего разряда в район электрических сетей №6, №8 электрооборудования третьего разряда </w:t>
            </w:r>
            <w:r w:rsidRPr="00FB3893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FB389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электрооборудования на объектах ООО "ЛУКОЙЛ-Западная Сибирь" ТПП "Покачевнефтегаз"</w:t>
            </w:r>
          </w:p>
        </w:tc>
      </w:tr>
      <w:tr w:rsidR="00626DB3" w:rsidRPr="00626DB3" w:rsidTr="007B163C">
        <w:tc>
          <w:tcPr>
            <w:tcW w:w="2694" w:type="dxa"/>
          </w:tcPr>
          <w:p w:rsidR="00626DB3" w:rsidRPr="00626DB3" w:rsidRDefault="00626DB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>01.09.2004 - 16.06.2009</w:t>
            </w:r>
          </w:p>
        </w:tc>
        <w:tc>
          <w:tcPr>
            <w:tcW w:w="7938" w:type="dxa"/>
          </w:tcPr>
          <w:p w:rsidR="00626DB3" w:rsidRPr="00626DB3" w:rsidRDefault="00626DB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>Учеба в Тюменском государственном нефтегазовом университете</w:t>
            </w:r>
          </w:p>
        </w:tc>
      </w:tr>
      <w:tr w:rsidR="00626DB3" w:rsidRPr="00626DB3" w:rsidTr="007B163C">
        <w:tc>
          <w:tcPr>
            <w:tcW w:w="2694" w:type="dxa"/>
          </w:tcPr>
          <w:p w:rsidR="00626DB3" w:rsidRPr="00626DB3" w:rsidRDefault="00626DB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>02.02.2009 - 13.03.2009</w:t>
            </w:r>
          </w:p>
        </w:tc>
        <w:tc>
          <w:tcPr>
            <w:tcW w:w="7938" w:type="dxa"/>
          </w:tcPr>
          <w:p w:rsidR="00626DB3" w:rsidRDefault="00626DB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органианиязации:</w:t>
            </w: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 xml:space="preserve"> ООО «Лукойл-Энергосети» Западно-Сибирское региональное управление Сервисный центр «Покачевэнергонефть» г. Покачи </w:t>
            </w:r>
          </w:p>
          <w:p w:rsidR="00626DB3" w:rsidRDefault="00626DB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B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обслуживанию электрооборудования второго разряда в район электрических сетей №1 производственная практика </w:t>
            </w:r>
          </w:p>
          <w:p w:rsidR="00626DB3" w:rsidRPr="00626DB3" w:rsidRDefault="00626DB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B3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электрооборудования на объектах ООО "ЛУКОЙЛ-Западная Сибирь" ТПП "Покачевнефтегаз"</w:t>
            </w:r>
          </w:p>
        </w:tc>
      </w:tr>
      <w:tr w:rsidR="00626DB3" w:rsidRPr="00626DB3" w:rsidTr="007B163C">
        <w:tc>
          <w:tcPr>
            <w:tcW w:w="2694" w:type="dxa"/>
          </w:tcPr>
          <w:p w:rsidR="00626DB3" w:rsidRPr="00626DB3" w:rsidRDefault="00626DB3" w:rsidP="00797ACD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>25.06.2008 - 04.07.2008</w:t>
            </w:r>
          </w:p>
        </w:tc>
        <w:tc>
          <w:tcPr>
            <w:tcW w:w="7938" w:type="dxa"/>
          </w:tcPr>
          <w:p w:rsidR="00626DB3" w:rsidRDefault="00626DB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 xml:space="preserve"> ООО «Лукойл-Энергогаз» Западно</w:t>
            </w: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Сибирское региональное управление Сервисный центр «Покачевэнергонефть» г. Покачи, </w:t>
            </w:r>
          </w:p>
          <w:p w:rsidR="00626DB3" w:rsidRDefault="00626DB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b/>
                <w:sz w:val="24"/>
                <w:szCs w:val="24"/>
              </w:rPr>
              <w:t>Должнсть:</w:t>
            </w: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обслуживанию электрооборудования в район электрических сетей №6 производственная практика </w:t>
            </w:r>
          </w:p>
          <w:p w:rsidR="00626DB3" w:rsidRPr="00626DB3" w:rsidRDefault="00626DB3" w:rsidP="00626DB3">
            <w:pPr>
              <w:pStyle w:val="4"/>
              <w:shd w:val="clear" w:color="auto" w:fill="auto"/>
              <w:spacing w:before="0" w:after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Обязанности:</w:t>
            </w:r>
            <w:r w:rsidRPr="00626DB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электрооборудования на объектах ООО ООО "ЛУКОЙЛ-Западная Сибирь" ТПП "Покачевнефтегаз"</w:t>
            </w:r>
          </w:p>
        </w:tc>
      </w:tr>
    </w:tbl>
    <w:p w:rsidR="00996251" w:rsidRPr="00626DB3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2710"/>
        <w:gridCol w:w="7673"/>
      </w:tblGrid>
      <w:tr w:rsidR="00E21087" w:rsidTr="00E21087">
        <w:tc>
          <w:tcPr>
            <w:tcW w:w="10383" w:type="dxa"/>
            <w:gridSpan w:val="2"/>
          </w:tcPr>
          <w:p w:rsidR="00E21087" w:rsidRPr="00E21087" w:rsidRDefault="00E21087" w:rsidP="00E21087">
            <w:pPr>
              <w:pStyle w:val="4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87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ИНФОРМАЦИЯ ОБ ОБРАЗОВАНИИ</w:t>
            </w:r>
          </w:p>
          <w:p w:rsidR="00E21087" w:rsidRDefault="00E21087" w:rsidP="00E21087">
            <w:pPr>
              <w:pStyle w:val="4"/>
              <w:shd w:val="clear" w:color="auto" w:fill="auto"/>
              <w:spacing w:before="0" w:after="63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(указывается информация о средне-профессиональном, высшем образовании, профессиональной переподготовке на основании дипломов)</w:t>
            </w:r>
          </w:p>
        </w:tc>
      </w:tr>
      <w:tr w:rsidR="00E21087" w:rsidTr="00E21087">
        <w:tc>
          <w:tcPr>
            <w:tcW w:w="2710" w:type="dxa"/>
          </w:tcPr>
          <w:p w:rsidR="00E21087" w:rsidRPr="00E21087" w:rsidRDefault="00E21087" w:rsidP="00996251">
            <w:pPr>
              <w:pStyle w:val="4"/>
              <w:shd w:val="clear" w:color="auto" w:fill="auto"/>
              <w:spacing w:before="0" w:after="63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sz w:val="24"/>
                <w:szCs w:val="24"/>
              </w:rPr>
              <w:t>Период 01.09.2004 - 16.06.2009</w:t>
            </w:r>
          </w:p>
        </w:tc>
        <w:tc>
          <w:tcPr>
            <w:tcW w:w="7673" w:type="dxa"/>
          </w:tcPr>
          <w:p w:rsidR="00E21087" w:rsidRDefault="00E21087" w:rsidP="00996251">
            <w:pPr>
              <w:pStyle w:val="4"/>
              <w:shd w:val="clear" w:color="auto" w:fill="auto"/>
              <w:spacing w:before="0" w:after="63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образования:</w:t>
            </w:r>
            <w:r w:rsidRPr="00E21087">
              <w:rPr>
                <w:rFonts w:ascii="Times New Roman" w:hAnsi="Times New Roman" w:cs="Times New Roman"/>
                <w:sz w:val="24"/>
                <w:szCs w:val="24"/>
              </w:rPr>
              <w:t xml:space="preserve"> Высшее </w:t>
            </w:r>
          </w:p>
          <w:p w:rsidR="00E21087" w:rsidRDefault="00E21087" w:rsidP="00996251">
            <w:pPr>
              <w:pStyle w:val="4"/>
              <w:shd w:val="clear" w:color="auto" w:fill="auto"/>
              <w:spacing w:before="0" w:after="63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E21087">
              <w:rPr>
                <w:rFonts w:ascii="Times New Roman" w:hAnsi="Times New Roman" w:cs="Times New Roman"/>
                <w:sz w:val="24"/>
                <w:szCs w:val="24"/>
              </w:rPr>
              <w:t xml:space="preserve"> Тюменский государственный нефтегазовый университет (очная форма обучения) </w:t>
            </w:r>
          </w:p>
          <w:p w:rsidR="00E21087" w:rsidRDefault="00E21087" w:rsidP="00996251">
            <w:pPr>
              <w:pStyle w:val="4"/>
              <w:shd w:val="clear" w:color="auto" w:fill="auto"/>
              <w:spacing w:before="0" w:after="63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E210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Электропривод и автоматика промышленных установок и технологических комплексов </w:t>
            </w:r>
          </w:p>
          <w:p w:rsidR="00E21087" w:rsidRPr="00E21087" w:rsidRDefault="00E21087" w:rsidP="00996251">
            <w:pPr>
              <w:pStyle w:val="4"/>
              <w:shd w:val="clear" w:color="auto" w:fill="auto"/>
              <w:spacing w:before="0" w:after="63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108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E21087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</w:p>
        </w:tc>
      </w:tr>
    </w:tbl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996251" w:rsidRDefault="00996251" w:rsidP="00996251">
      <w:pPr>
        <w:pStyle w:val="4"/>
        <w:shd w:val="clear" w:color="auto" w:fill="auto"/>
        <w:spacing w:before="0" w:after="63" w:line="230" w:lineRule="exact"/>
        <w:ind w:left="120"/>
        <w:rPr>
          <w:rFonts w:ascii="Times New Roman" w:hAnsi="Times New Roman" w:cs="Times New Roman"/>
          <w:sz w:val="24"/>
          <w:szCs w:val="24"/>
        </w:rPr>
      </w:pPr>
    </w:p>
    <w:sectPr w:rsidR="00996251">
      <w:type w:val="continuous"/>
      <w:pgSz w:w="11909" w:h="16838"/>
      <w:pgMar w:top="393" w:right="698" w:bottom="393" w:left="6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D3" w:rsidRDefault="008532D3">
      <w:r>
        <w:separator/>
      </w:r>
    </w:p>
  </w:endnote>
  <w:endnote w:type="continuationSeparator" w:id="0">
    <w:p w:rsidR="008532D3" w:rsidRDefault="008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D3" w:rsidRDefault="008532D3"/>
  </w:footnote>
  <w:footnote w:type="continuationSeparator" w:id="0">
    <w:p w:rsidR="008532D3" w:rsidRDefault="008532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D1"/>
    <w:rsid w:val="005452D1"/>
    <w:rsid w:val="00626DB3"/>
    <w:rsid w:val="00667633"/>
    <w:rsid w:val="006A1882"/>
    <w:rsid w:val="00797ACD"/>
    <w:rsid w:val="008532D3"/>
    <w:rsid w:val="00996251"/>
    <w:rsid w:val="00A658C6"/>
    <w:rsid w:val="00B45E77"/>
    <w:rsid w:val="00BE6643"/>
    <w:rsid w:val="00CE71D4"/>
    <w:rsid w:val="00E21087"/>
    <w:rsid w:val="00F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4498"/>
  <w15:docId w15:val="{3561FD69-17D7-4556-BD28-9B7FF0B1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">
    <w:name w:val="Body text_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15pt">
    <w:name w:val="Body text (3) + 11;5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TimesNewRoman11ptBold">
    <w:name w:val="Body text + Times New Roman;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blecaption">
    <w:name w:val="Table caption_"/>
    <w:basedOn w:val="a0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80" w:line="0" w:lineRule="atLeast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080" w:after="180" w:line="0" w:lineRule="atLeast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180" w:line="360" w:lineRule="exact"/>
    </w:pPr>
    <w:rPr>
      <w:rFonts w:ascii="Calibri" w:eastAsia="Calibri" w:hAnsi="Calibri" w:cs="Calibri"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</w:pPr>
    <w:rPr>
      <w:rFonts w:ascii="Calibri" w:eastAsia="Calibri" w:hAnsi="Calibri" w:cs="Calibri"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table" w:styleId="a4">
    <w:name w:val="Table Grid"/>
    <w:basedOn w:val="a1"/>
    <w:uiPriority w:val="39"/>
    <w:rsid w:val="0099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E66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66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6643"/>
    <w:rPr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66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6643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66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66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p0k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&lt;4D6963726F736F667420576F7264202D20D0E5E7FEECE520EAE0EDE4E8E4E0F2E028CFFFF2EAEEE220C02ECD2E29&gt;</vt:lpstr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&lt;4D6963726F736F667420576F7264202D20D0E5E7FEECE520EAE0EDE4E8E4E0F2E028CFFFF2EAEEE220C02ECD2E29&gt;</dc:title>
  <dc:subject/>
  <dc:creator>Пятков Андрей Николаевич</dc:creator>
  <cp:keywords/>
  <cp:lastModifiedBy>Пятков Андрей Николаевич</cp:lastModifiedBy>
  <cp:revision>6</cp:revision>
  <dcterms:created xsi:type="dcterms:W3CDTF">2024-05-29T06:21:00Z</dcterms:created>
  <dcterms:modified xsi:type="dcterms:W3CDTF">2024-05-29T07:18:00Z</dcterms:modified>
</cp:coreProperties>
</file>